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7109EB" w:rsidRDefault="007109EB"/>
    <w:p w:rsidR="007109EB" w:rsidRDefault="007109EB"/>
    <w:p w:rsidR="007109EB" w:rsidRDefault="007109EB"/>
    <w:p w:rsidR="007109EB" w:rsidRDefault="007109EB"/>
    <w:p w:rsidR="00E0784B" w:rsidRDefault="00E0784B"/>
    <w:p w:rsidR="00E0784B" w:rsidRPr="00E0784B" w:rsidRDefault="000126AF" w:rsidP="00E078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Titanic Machinery Inc. Auditing</w:t>
      </w:r>
    </w:p>
    <w:p w:rsidR="00E0784B" w:rsidRPr="001D149A" w:rsidRDefault="000126AF" w:rsidP="00E0784B">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Student</w:t>
      </w:r>
    </w:p>
    <w:p w:rsidR="00E0784B" w:rsidRDefault="000126AF" w:rsidP="00E0784B">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w:t>
      </w:r>
    </w:p>
    <w:p w:rsidR="00E0784B" w:rsidRPr="001D149A" w:rsidRDefault="000126AF" w:rsidP="00E0784B">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0784B" w:rsidRDefault="00E0784B" w:rsidP="00E0784B">
      <w:pPr>
        <w:jc w:val="center"/>
      </w:pPr>
    </w:p>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Default="00E0784B"/>
    <w:p w:rsidR="00E0784B" w:rsidRPr="00E0784B" w:rsidRDefault="000126AF" w:rsidP="00E0784B">
      <w:pPr>
        <w:spacing w:after="0" w:line="480" w:lineRule="auto"/>
        <w:ind w:firstLine="851"/>
        <w:jc w:val="center"/>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lastRenderedPageBreak/>
        <w:t>Titanic Machinery Inc. Auditing</w:t>
      </w:r>
    </w:p>
    <w:p w:rsidR="00DB6722"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Titanic Machinery Inc. is a company that deals with agricultural and construction equipment stores in the USA and Europe. It is an authorized company dealing with manufacturing N.V. or U.S. subsidiaries. The company has property, plant and equipment</w:t>
      </w:r>
      <w:r w:rsidR="005E7746" w:rsidRPr="00E0784B">
        <w:rPr>
          <w:rFonts w:ascii="Times New Roman" w:hAnsi="Times New Roman" w:cs="Times New Roman"/>
          <w:color w:val="000000" w:themeColor="text1"/>
          <w:sz w:val="24"/>
          <w:szCs w:val="24"/>
        </w:rPr>
        <w:t xml:space="preserve"> (PPE)</w:t>
      </w:r>
      <w:r w:rsidRPr="00E0784B">
        <w:rPr>
          <w:rFonts w:ascii="Times New Roman" w:hAnsi="Times New Roman" w:cs="Times New Roman"/>
          <w:color w:val="000000" w:themeColor="text1"/>
          <w:sz w:val="24"/>
          <w:szCs w:val="24"/>
        </w:rPr>
        <w:t xml:space="preserve"> that needs to be audited to ensure that depreciation and capital assets comply with the objectives of the administration. </w:t>
      </w:r>
      <w:r w:rsidR="005E7746" w:rsidRPr="00E0784B">
        <w:rPr>
          <w:rFonts w:ascii="Times New Roman" w:hAnsi="Times New Roman" w:cs="Times New Roman"/>
          <w:color w:val="000000" w:themeColor="text1"/>
          <w:sz w:val="24"/>
          <w:szCs w:val="24"/>
        </w:rPr>
        <w:t>The consistent growth of the company enhances the expansion of fixed assets in different stores that are located in places like Montana, Nebraska, North Dakota, and Minnesota</w:t>
      </w:r>
      <w:r w:rsidR="00E0784B" w:rsidRPr="00E0784B">
        <w:rPr>
          <w:rFonts w:ascii="Times New Roman" w:hAnsi="Times New Roman" w:cs="Times New Roman"/>
          <w:color w:val="000000" w:themeColor="text1"/>
          <w:sz w:val="24"/>
          <w:szCs w:val="24"/>
        </w:rPr>
        <w:t xml:space="preserve"> (</w:t>
      </w:r>
      <w:r w:rsidR="00E0784B" w:rsidRPr="00E0784B">
        <w:rPr>
          <w:rFonts w:ascii="Times New Roman" w:hAnsi="Times New Roman" w:cs="Times New Roman"/>
          <w:color w:val="000000" w:themeColor="text1"/>
          <w:sz w:val="24"/>
          <w:szCs w:val="24"/>
          <w:shd w:val="clear" w:color="auto" w:fill="FFFFFF"/>
        </w:rPr>
        <w:t>Titan Machinery Inc.</w:t>
      </w:r>
      <w:r w:rsidR="00FB2E0A" w:rsidRPr="00E0784B">
        <w:rPr>
          <w:rFonts w:ascii="Times New Roman" w:hAnsi="Times New Roman" w:cs="Times New Roman"/>
          <w:color w:val="000000" w:themeColor="text1"/>
          <w:sz w:val="24"/>
          <w:szCs w:val="24"/>
          <w:shd w:val="clear" w:color="auto" w:fill="FFFFFF"/>
        </w:rPr>
        <w:t>, 2020</w:t>
      </w:r>
      <w:r w:rsidR="00E0784B" w:rsidRPr="00E0784B">
        <w:rPr>
          <w:rFonts w:ascii="Times New Roman" w:hAnsi="Times New Roman" w:cs="Times New Roman"/>
          <w:color w:val="000000" w:themeColor="text1"/>
          <w:sz w:val="24"/>
          <w:szCs w:val="24"/>
          <w:shd w:val="clear" w:color="auto" w:fill="FFFFFF"/>
        </w:rPr>
        <w:t>)</w:t>
      </w:r>
      <w:r w:rsidR="005E7746" w:rsidRPr="00E0784B">
        <w:rPr>
          <w:rFonts w:ascii="Times New Roman" w:hAnsi="Times New Roman" w:cs="Times New Roman"/>
          <w:color w:val="000000" w:themeColor="text1"/>
          <w:sz w:val="24"/>
          <w:szCs w:val="24"/>
        </w:rPr>
        <w:t>. This paper evaluates the nature of the company and develops work programs for PPE and cycles. Also, the audit step for tests of controls, transactions, balances and analytical procedures will be enhanced.</w:t>
      </w:r>
    </w:p>
    <w:p w:rsidR="005E7746" w:rsidRPr="00E0784B" w:rsidRDefault="000126AF" w:rsidP="00E0784B">
      <w:pPr>
        <w:spacing w:after="0" w:line="480" w:lineRule="auto"/>
        <w:ind w:firstLine="851"/>
        <w:jc w:val="center"/>
        <w:rPr>
          <w:rFonts w:ascii="Times New Roman" w:hAnsi="Times New Roman" w:cs="Times New Roman"/>
          <w:b/>
          <w:bCs/>
          <w:color w:val="000000" w:themeColor="text1"/>
          <w:sz w:val="24"/>
          <w:szCs w:val="24"/>
        </w:rPr>
      </w:pPr>
      <w:r w:rsidRPr="00E0784B">
        <w:rPr>
          <w:rFonts w:ascii="Times New Roman" w:hAnsi="Times New Roman" w:cs="Times New Roman"/>
          <w:b/>
          <w:bCs/>
          <w:color w:val="000000" w:themeColor="text1"/>
          <w:sz w:val="24"/>
          <w:szCs w:val="24"/>
        </w:rPr>
        <w:t>Nature and Risk</w:t>
      </w:r>
    </w:p>
    <w:p w:rsidR="005E7746"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Titanic Inc. company deals with machinery for agricultural and construction purposes. Some machines are used to manufacture other device</w:t>
      </w:r>
      <w:r w:rsidR="00E0784B" w:rsidRPr="00E0784B">
        <w:rPr>
          <w:rFonts w:ascii="Times New Roman" w:hAnsi="Times New Roman" w:cs="Times New Roman"/>
          <w:color w:val="000000" w:themeColor="text1"/>
          <w:sz w:val="24"/>
          <w:szCs w:val="24"/>
        </w:rPr>
        <w:t>s, which are sold (</w:t>
      </w:r>
      <w:r w:rsidR="00E0784B" w:rsidRPr="00E0784B">
        <w:rPr>
          <w:rFonts w:ascii="Times New Roman" w:hAnsi="Times New Roman" w:cs="Times New Roman"/>
          <w:color w:val="000000" w:themeColor="text1"/>
          <w:sz w:val="24"/>
          <w:szCs w:val="24"/>
          <w:shd w:val="clear" w:color="auto" w:fill="FFFFFF"/>
        </w:rPr>
        <w:t>Titan Machinery Inc.</w:t>
      </w:r>
      <w:r w:rsidR="00FB2E0A" w:rsidRPr="00E0784B">
        <w:rPr>
          <w:rFonts w:ascii="Times New Roman" w:hAnsi="Times New Roman" w:cs="Times New Roman"/>
          <w:color w:val="000000" w:themeColor="text1"/>
          <w:sz w:val="24"/>
          <w:szCs w:val="24"/>
          <w:shd w:val="clear" w:color="auto" w:fill="FFFFFF"/>
        </w:rPr>
        <w:t>, 2020</w:t>
      </w:r>
      <w:r w:rsidR="00E0784B" w:rsidRPr="00E0784B">
        <w:rPr>
          <w:rFonts w:ascii="Times New Roman" w:hAnsi="Times New Roman" w:cs="Times New Roman"/>
          <w:color w:val="000000" w:themeColor="text1"/>
          <w:sz w:val="24"/>
          <w:szCs w:val="24"/>
          <w:shd w:val="clear" w:color="auto" w:fill="FFFFFF"/>
        </w:rPr>
        <w:t>)</w:t>
      </w:r>
      <w:r w:rsidRPr="00E0784B">
        <w:rPr>
          <w:rFonts w:ascii="Times New Roman" w:hAnsi="Times New Roman" w:cs="Times New Roman"/>
          <w:color w:val="000000" w:themeColor="text1"/>
          <w:sz w:val="24"/>
          <w:szCs w:val="24"/>
        </w:rPr>
        <w:t xml:space="preserve">. The PPE is used </w:t>
      </w:r>
      <w:r w:rsidR="008C442C" w:rsidRPr="00E0784B">
        <w:rPr>
          <w:rFonts w:ascii="Times New Roman" w:hAnsi="Times New Roman" w:cs="Times New Roman"/>
          <w:color w:val="000000" w:themeColor="text1"/>
          <w:sz w:val="24"/>
          <w:szCs w:val="24"/>
        </w:rPr>
        <w:t xml:space="preserve">for </w:t>
      </w:r>
      <w:r w:rsidRPr="00E0784B">
        <w:rPr>
          <w:rFonts w:ascii="Times New Roman" w:hAnsi="Times New Roman" w:cs="Times New Roman"/>
          <w:color w:val="000000" w:themeColor="text1"/>
          <w:sz w:val="24"/>
          <w:szCs w:val="24"/>
        </w:rPr>
        <w:t xml:space="preserve">an extended time, and they cannot be converted to </w:t>
      </w:r>
      <w:r w:rsidR="008C442C" w:rsidRPr="00E0784B">
        <w:rPr>
          <w:rFonts w:ascii="Times New Roman" w:hAnsi="Times New Roman" w:cs="Times New Roman"/>
          <w:color w:val="000000" w:themeColor="text1"/>
          <w:sz w:val="24"/>
          <w:szCs w:val="24"/>
        </w:rPr>
        <w:t xml:space="preserve">cash. Also, the </w:t>
      </w:r>
      <w:r w:rsidR="00FB2E0A" w:rsidRPr="00E0784B">
        <w:rPr>
          <w:rFonts w:ascii="Times New Roman" w:hAnsi="Times New Roman" w:cs="Times New Roman"/>
          <w:color w:val="000000" w:themeColor="text1"/>
          <w:sz w:val="24"/>
          <w:szCs w:val="24"/>
        </w:rPr>
        <w:t>company has</w:t>
      </w:r>
      <w:r w:rsidR="008C442C" w:rsidRPr="00E0784B">
        <w:rPr>
          <w:rFonts w:ascii="Times New Roman" w:hAnsi="Times New Roman" w:cs="Times New Roman"/>
          <w:color w:val="000000" w:themeColor="text1"/>
          <w:sz w:val="24"/>
          <w:szCs w:val="24"/>
        </w:rPr>
        <w:t xml:space="preserve"> various properties, such as building and stores. Fixed assets are at a higher risk of being misreported, which leads to an imbalance in the accounts book of the company. The company is at both physical and internal threats that are related to fixed assets. The material risk associated with the fixed assets includes theft and impairment of the PPE. Therefore, physical control in the company to validate the presence, condition, and the custody of the assets is needed. However, the company views its assets to be at a lower risk because the assets are not exposed to theft or damages. The physical assets of the company </w:t>
      </w:r>
      <w:r w:rsidR="0002087F" w:rsidRPr="00E0784B">
        <w:rPr>
          <w:rFonts w:ascii="Times New Roman" w:hAnsi="Times New Roman" w:cs="Times New Roman"/>
          <w:color w:val="000000" w:themeColor="text1"/>
          <w:sz w:val="24"/>
          <w:szCs w:val="24"/>
        </w:rPr>
        <w:t>are</w:t>
      </w:r>
      <w:r w:rsidR="008C442C" w:rsidRPr="00E0784B">
        <w:rPr>
          <w:rFonts w:ascii="Times New Roman" w:hAnsi="Times New Roman" w:cs="Times New Roman"/>
          <w:color w:val="000000" w:themeColor="text1"/>
          <w:sz w:val="24"/>
          <w:szCs w:val="24"/>
        </w:rPr>
        <w:t xml:space="preserve"> based on </w:t>
      </w:r>
      <w:r w:rsidR="0002087F" w:rsidRPr="00E0784B">
        <w:rPr>
          <w:rFonts w:ascii="Times New Roman" w:hAnsi="Times New Roman" w:cs="Times New Roman"/>
          <w:color w:val="000000" w:themeColor="text1"/>
          <w:sz w:val="24"/>
          <w:szCs w:val="24"/>
        </w:rPr>
        <w:t>tremendous value such as land, equipment and heavy machinery. The company reports some error</w:t>
      </w:r>
      <w:r w:rsidR="007109EB">
        <w:rPr>
          <w:rFonts w:ascii="Times New Roman" w:hAnsi="Times New Roman" w:cs="Times New Roman"/>
          <w:color w:val="000000" w:themeColor="text1"/>
          <w:sz w:val="24"/>
          <w:szCs w:val="24"/>
        </w:rPr>
        <w:t>s</w:t>
      </w:r>
      <w:r w:rsidR="0002087F" w:rsidRPr="00E0784B">
        <w:rPr>
          <w:rFonts w:ascii="Times New Roman" w:hAnsi="Times New Roman" w:cs="Times New Roman"/>
          <w:color w:val="000000" w:themeColor="text1"/>
          <w:sz w:val="24"/>
          <w:szCs w:val="24"/>
        </w:rPr>
        <w:t xml:space="preserve"> in </w:t>
      </w:r>
      <w:r w:rsidR="007F1BD4">
        <w:rPr>
          <w:rFonts w:ascii="Times New Roman" w:hAnsi="Times New Roman" w:cs="Times New Roman"/>
          <w:color w:val="000000" w:themeColor="text1"/>
          <w:sz w:val="24"/>
          <w:szCs w:val="24"/>
        </w:rPr>
        <w:t>developing</w:t>
      </w:r>
      <w:r w:rsidR="0002087F" w:rsidRPr="00E0784B">
        <w:rPr>
          <w:rFonts w:ascii="Times New Roman" w:hAnsi="Times New Roman" w:cs="Times New Roman"/>
          <w:color w:val="000000" w:themeColor="text1"/>
          <w:sz w:val="24"/>
          <w:szCs w:val="24"/>
        </w:rPr>
        <w:t xml:space="preserve"> account</w:t>
      </w:r>
      <w:r w:rsidR="007F1BD4">
        <w:rPr>
          <w:rFonts w:ascii="Times New Roman" w:hAnsi="Times New Roman" w:cs="Times New Roman"/>
          <w:color w:val="000000" w:themeColor="text1"/>
          <w:sz w:val="24"/>
          <w:szCs w:val="24"/>
        </w:rPr>
        <w:t>s</w:t>
      </w:r>
      <w:r w:rsidR="0002087F" w:rsidRPr="00E0784B">
        <w:rPr>
          <w:rFonts w:ascii="Times New Roman" w:hAnsi="Times New Roman" w:cs="Times New Roman"/>
          <w:color w:val="000000" w:themeColor="text1"/>
          <w:sz w:val="24"/>
          <w:szCs w:val="24"/>
        </w:rPr>
        <w:t xml:space="preserve"> for the correct purchases and value of the fixed assets. Due to expenses like registration, tax and delivery fee, the cost</w:t>
      </w:r>
      <w:r w:rsidR="000F699B">
        <w:rPr>
          <w:rFonts w:ascii="Times New Roman" w:hAnsi="Times New Roman" w:cs="Times New Roman"/>
          <w:color w:val="000000" w:themeColor="text1"/>
          <w:sz w:val="24"/>
          <w:szCs w:val="24"/>
        </w:rPr>
        <w:t xml:space="preserve"> of</w:t>
      </w:r>
      <w:r w:rsidR="0002087F" w:rsidRPr="00E0784B">
        <w:rPr>
          <w:rFonts w:ascii="Times New Roman" w:hAnsi="Times New Roman" w:cs="Times New Roman"/>
          <w:color w:val="000000" w:themeColor="text1"/>
          <w:sz w:val="24"/>
          <w:szCs w:val="24"/>
        </w:rPr>
        <w:t xml:space="preserve"> fixed assets </w:t>
      </w:r>
      <w:r w:rsidR="0043517F" w:rsidRPr="00E0784B">
        <w:rPr>
          <w:rFonts w:ascii="Times New Roman" w:hAnsi="Times New Roman" w:cs="Times New Roman"/>
          <w:color w:val="000000" w:themeColor="text1"/>
          <w:sz w:val="24"/>
          <w:szCs w:val="24"/>
        </w:rPr>
        <w:t>is</w:t>
      </w:r>
      <w:r w:rsidR="0002087F" w:rsidRPr="00E0784B">
        <w:rPr>
          <w:rFonts w:ascii="Times New Roman" w:hAnsi="Times New Roman" w:cs="Times New Roman"/>
          <w:color w:val="000000" w:themeColor="text1"/>
          <w:sz w:val="24"/>
          <w:szCs w:val="24"/>
        </w:rPr>
        <w:t xml:space="preserve"> not recorded correctly.</w:t>
      </w:r>
    </w:p>
    <w:p w:rsidR="00CC3632" w:rsidRPr="00E0784B" w:rsidRDefault="000126AF" w:rsidP="00E0784B">
      <w:pPr>
        <w:spacing w:after="0" w:line="480" w:lineRule="auto"/>
        <w:ind w:firstLine="851"/>
        <w:jc w:val="center"/>
        <w:rPr>
          <w:rFonts w:ascii="Times New Roman" w:hAnsi="Times New Roman" w:cs="Times New Roman"/>
          <w:b/>
          <w:bCs/>
          <w:color w:val="000000" w:themeColor="text1"/>
          <w:sz w:val="24"/>
          <w:szCs w:val="24"/>
        </w:rPr>
      </w:pPr>
      <w:r w:rsidRPr="00E0784B">
        <w:rPr>
          <w:rFonts w:ascii="Times New Roman" w:hAnsi="Times New Roman" w:cs="Times New Roman"/>
          <w:b/>
          <w:bCs/>
          <w:color w:val="000000" w:themeColor="text1"/>
          <w:sz w:val="24"/>
          <w:szCs w:val="24"/>
        </w:rPr>
        <w:lastRenderedPageBreak/>
        <w:t>Auditing Procedure</w:t>
      </w:r>
    </w:p>
    <w:p w:rsidR="00CC3632"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The auditing procedure for companies concerning the PPE is a challenging process. The process involves verification of assets through the registers</w:t>
      </w:r>
      <w:r w:rsidR="00E0784B" w:rsidRPr="00E0784B">
        <w:rPr>
          <w:rFonts w:ascii="Times New Roman" w:hAnsi="Times New Roman" w:cs="Times New Roman"/>
          <w:color w:val="000000" w:themeColor="text1"/>
          <w:sz w:val="24"/>
          <w:szCs w:val="24"/>
        </w:rPr>
        <w:t xml:space="preserve"> (</w:t>
      </w:r>
      <w:r w:rsidR="00E0784B" w:rsidRPr="00E0784B">
        <w:rPr>
          <w:rFonts w:ascii="Times New Roman" w:hAnsi="Times New Roman" w:cs="Times New Roman"/>
          <w:color w:val="000000" w:themeColor="text1"/>
          <w:sz w:val="24"/>
          <w:szCs w:val="24"/>
          <w:shd w:val="clear" w:color="auto" w:fill="FFFFFF"/>
        </w:rPr>
        <w:t>Hay, 2014)</w:t>
      </w:r>
      <w:r w:rsidRPr="00E0784B">
        <w:rPr>
          <w:rFonts w:ascii="Times New Roman" w:hAnsi="Times New Roman" w:cs="Times New Roman"/>
          <w:color w:val="000000" w:themeColor="text1"/>
          <w:sz w:val="24"/>
          <w:szCs w:val="24"/>
        </w:rPr>
        <w:t>. Confirmation of assets consists of the administration through the provision of records used to calculate the assets and their value. The location where auditing will be carried out is a significant element for the verification of Tita</w:t>
      </w:r>
      <w:r w:rsidR="007109EB">
        <w:rPr>
          <w:rFonts w:ascii="Times New Roman" w:hAnsi="Times New Roman" w:cs="Times New Roman"/>
          <w:color w:val="000000" w:themeColor="text1"/>
          <w:sz w:val="24"/>
          <w:szCs w:val="24"/>
        </w:rPr>
        <w:t xml:space="preserve">nic company because it operates </w:t>
      </w:r>
      <w:r w:rsidRPr="00E0784B">
        <w:rPr>
          <w:rFonts w:ascii="Times New Roman" w:hAnsi="Times New Roman" w:cs="Times New Roman"/>
          <w:color w:val="000000" w:themeColor="text1"/>
          <w:sz w:val="24"/>
          <w:szCs w:val="24"/>
        </w:rPr>
        <w:t xml:space="preserve">in various areas. The spare parts </w:t>
      </w:r>
      <w:r w:rsidR="0043517F">
        <w:rPr>
          <w:rFonts w:ascii="Times New Roman" w:hAnsi="Times New Roman" w:cs="Times New Roman"/>
          <w:color w:val="000000" w:themeColor="text1"/>
          <w:sz w:val="24"/>
          <w:szCs w:val="24"/>
        </w:rPr>
        <w:t>will</w:t>
      </w:r>
      <w:r w:rsidRPr="00E0784B">
        <w:rPr>
          <w:rFonts w:ascii="Times New Roman" w:hAnsi="Times New Roman" w:cs="Times New Roman"/>
          <w:color w:val="000000" w:themeColor="text1"/>
          <w:sz w:val="24"/>
          <w:szCs w:val="24"/>
        </w:rPr>
        <w:t xml:space="preserve"> not</w:t>
      </w:r>
      <w:r w:rsidR="00B56C9E">
        <w:rPr>
          <w:rFonts w:ascii="Times New Roman" w:hAnsi="Times New Roman" w:cs="Times New Roman"/>
          <w:color w:val="000000" w:themeColor="text1"/>
          <w:sz w:val="24"/>
          <w:szCs w:val="24"/>
        </w:rPr>
        <w:t xml:space="preserve"> be</w:t>
      </w:r>
      <w:r w:rsidR="007109EB">
        <w:rPr>
          <w:rFonts w:ascii="Times New Roman" w:hAnsi="Times New Roman" w:cs="Times New Roman"/>
          <w:color w:val="000000" w:themeColor="text1"/>
          <w:sz w:val="24"/>
          <w:szCs w:val="24"/>
        </w:rPr>
        <w:t xml:space="preserve"> </w:t>
      </w:r>
      <w:r w:rsidR="00B56C9E" w:rsidRPr="00E0784B">
        <w:rPr>
          <w:rFonts w:ascii="Times New Roman" w:hAnsi="Times New Roman" w:cs="Times New Roman"/>
          <w:color w:val="000000" w:themeColor="text1"/>
          <w:sz w:val="24"/>
          <w:szCs w:val="24"/>
        </w:rPr>
        <w:t>include</w:t>
      </w:r>
      <w:r w:rsidR="00B56C9E">
        <w:rPr>
          <w:rFonts w:ascii="Times New Roman" w:hAnsi="Times New Roman" w:cs="Times New Roman"/>
          <w:color w:val="000000" w:themeColor="text1"/>
          <w:sz w:val="24"/>
          <w:szCs w:val="24"/>
        </w:rPr>
        <w:t>d</w:t>
      </w:r>
      <w:r w:rsidRPr="00E0784B">
        <w:rPr>
          <w:rFonts w:ascii="Times New Roman" w:hAnsi="Times New Roman" w:cs="Times New Roman"/>
          <w:color w:val="000000" w:themeColor="text1"/>
          <w:sz w:val="24"/>
          <w:szCs w:val="24"/>
        </w:rPr>
        <w:t xml:space="preserve"> in the fixed assets. The "sheet to floor" methodology will be applied in the auditing of Titanic </w:t>
      </w:r>
      <w:r w:rsidR="00B56C9E">
        <w:rPr>
          <w:rFonts w:ascii="Times New Roman" w:hAnsi="Times New Roman" w:cs="Times New Roman"/>
          <w:color w:val="000000" w:themeColor="text1"/>
          <w:sz w:val="24"/>
          <w:szCs w:val="24"/>
        </w:rPr>
        <w:t xml:space="preserve">machinery </w:t>
      </w:r>
      <w:r w:rsidRPr="00E0784B">
        <w:rPr>
          <w:rFonts w:ascii="Times New Roman" w:hAnsi="Times New Roman" w:cs="Times New Roman"/>
          <w:color w:val="000000" w:themeColor="text1"/>
          <w:sz w:val="24"/>
          <w:szCs w:val="24"/>
        </w:rPr>
        <w:t xml:space="preserve">Inc. company because verification of the fixed assets is done from the registers. The samples of the assets </w:t>
      </w:r>
      <w:r w:rsidR="00A961AD" w:rsidRPr="00E0784B">
        <w:rPr>
          <w:rFonts w:ascii="Times New Roman" w:hAnsi="Times New Roman" w:cs="Times New Roman"/>
          <w:color w:val="000000" w:themeColor="text1"/>
          <w:sz w:val="24"/>
          <w:szCs w:val="24"/>
        </w:rPr>
        <w:t>chosen</w:t>
      </w:r>
      <w:r w:rsidRPr="00E0784B">
        <w:rPr>
          <w:rFonts w:ascii="Times New Roman" w:hAnsi="Times New Roman" w:cs="Times New Roman"/>
          <w:color w:val="000000" w:themeColor="text1"/>
          <w:sz w:val="24"/>
          <w:szCs w:val="24"/>
        </w:rPr>
        <w:t xml:space="preserve"> have to be verified to be in proper working conditions. Testing controls for purchasing the assets compared to the booking of the assets on the register is also done. The monitoring </w:t>
      </w:r>
      <w:r w:rsidR="00824A3F">
        <w:rPr>
          <w:rFonts w:ascii="Times New Roman" w:hAnsi="Times New Roman" w:cs="Times New Roman"/>
          <w:color w:val="000000" w:themeColor="text1"/>
          <w:sz w:val="24"/>
          <w:szCs w:val="24"/>
        </w:rPr>
        <w:t xml:space="preserve">process </w:t>
      </w:r>
      <w:r w:rsidRPr="00E0784B">
        <w:rPr>
          <w:rFonts w:ascii="Times New Roman" w:hAnsi="Times New Roman" w:cs="Times New Roman"/>
          <w:color w:val="000000" w:themeColor="text1"/>
          <w:sz w:val="24"/>
          <w:szCs w:val="24"/>
        </w:rPr>
        <w:t xml:space="preserve">is done to evaluate if the internal controls concerning the purchase of the assets </w:t>
      </w:r>
      <w:r w:rsidR="00824A3F">
        <w:rPr>
          <w:rFonts w:ascii="Times New Roman" w:hAnsi="Times New Roman" w:cs="Times New Roman"/>
          <w:color w:val="000000" w:themeColor="text1"/>
          <w:sz w:val="24"/>
          <w:szCs w:val="24"/>
        </w:rPr>
        <w:t xml:space="preserve">and to ensure they </w:t>
      </w:r>
      <w:r w:rsidRPr="00E0784B">
        <w:rPr>
          <w:rFonts w:ascii="Times New Roman" w:hAnsi="Times New Roman" w:cs="Times New Roman"/>
          <w:color w:val="000000" w:themeColor="text1"/>
          <w:sz w:val="24"/>
          <w:szCs w:val="24"/>
        </w:rPr>
        <w:t>are adequate. The main aim of the control test is to assess if the controls are used and working well for the company auditing.</w:t>
      </w:r>
    </w:p>
    <w:p w:rsidR="00CC3632"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 xml:space="preserve">The next step is to carry out a substantive auditing procedure concerning the newly built or purchased fixed assets in the company. This will also be checked in the purchase register. The information retrieved includes classification of an asset, payments, reception note, </w:t>
      </w:r>
      <w:r w:rsidR="00FB2E0A" w:rsidRPr="00E0784B">
        <w:rPr>
          <w:rFonts w:ascii="Times New Roman" w:hAnsi="Times New Roman" w:cs="Times New Roman"/>
          <w:color w:val="000000" w:themeColor="text1"/>
          <w:sz w:val="24"/>
          <w:szCs w:val="24"/>
        </w:rPr>
        <w:t>and invoice</w:t>
      </w:r>
      <w:r w:rsidRPr="00E0784B">
        <w:rPr>
          <w:rFonts w:ascii="Times New Roman" w:hAnsi="Times New Roman" w:cs="Times New Roman"/>
          <w:color w:val="000000" w:themeColor="text1"/>
          <w:sz w:val="24"/>
          <w:szCs w:val="24"/>
        </w:rPr>
        <w:t xml:space="preserve"> from the supplier, authorization and purchase requisitions. The assets must have been capitalized under the IAS 16 AND 23</w:t>
      </w:r>
      <w:r w:rsidR="00E0784B" w:rsidRPr="00E0784B">
        <w:rPr>
          <w:rFonts w:ascii="Times New Roman" w:hAnsi="Times New Roman" w:cs="Times New Roman"/>
          <w:color w:val="000000" w:themeColor="text1"/>
          <w:sz w:val="24"/>
          <w:szCs w:val="24"/>
        </w:rPr>
        <w:t xml:space="preserve"> (</w:t>
      </w:r>
      <w:r w:rsidR="00E0784B" w:rsidRPr="00E0784B">
        <w:rPr>
          <w:rFonts w:ascii="Times New Roman" w:hAnsi="Times New Roman" w:cs="Times New Roman"/>
          <w:color w:val="000000" w:themeColor="text1"/>
          <w:sz w:val="24"/>
          <w:szCs w:val="24"/>
          <w:shd w:val="clear" w:color="auto" w:fill="FFFFFF"/>
        </w:rPr>
        <w:t>Hay, 2014)</w:t>
      </w:r>
      <w:r w:rsidRPr="00E0784B">
        <w:rPr>
          <w:rFonts w:ascii="Times New Roman" w:hAnsi="Times New Roman" w:cs="Times New Roman"/>
          <w:color w:val="000000" w:themeColor="text1"/>
          <w:sz w:val="24"/>
          <w:szCs w:val="24"/>
        </w:rPr>
        <w:t xml:space="preserve">. Also, the disposal program will be evaluated through the disposal registers. The disposal is significant in ensuring that loss and profit linked to the destruction of the asset will be included in the income statement. The authorization of disposal, </w:t>
      </w:r>
      <w:r w:rsidR="00FB2E0A" w:rsidRPr="00E0784B">
        <w:rPr>
          <w:rFonts w:ascii="Times New Roman" w:hAnsi="Times New Roman" w:cs="Times New Roman"/>
          <w:color w:val="000000" w:themeColor="text1"/>
          <w:sz w:val="24"/>
          <w:szCs w:val="24"/>
        </w:rPr>
        <w:t>customers involved</w:t>
      </w:r>
      <w:r w:rsidR="00887CBD">
        <w:rPr>
          <w:rFonts w:ascii="Times New Roman" w:hAnsi="Times New Roman" w:cs="Times New Roman"/>
          <w:color w:val="000000" w:themeColor="text1"/>
          <w:sz w:val="24"/>
          <w:szCs w:val="24"/>
        </w:rPr>
        <w:t xml:space="preserve"> in buying the assets</w:t>
      </w:r>
      <w:r w:rsidRPr="00E0784B">
        <w:rPr>
          <w:rFonts w:ascii="Times New Roman" w:hAnsi="Times New Roman" w:cs="Times New Roman"/>
          <w:color w:val="000000" w:themeColor="text1"/>
          <w:sz w:val="24"/>
          <w:szCs w:val="24"/>
        </w:rPr>
        <w:t xml:space="preserve">, and money received will be assessed. The auditors will confirm if the asset was removed from the category of fixed assets. Analytical procedure on the depreciation of assets will be carried out as it is an essential audit process in the PPE. The following information will be retrieved from the </w:t>
      </w:r>
      <w:r w:rsidRPr="00E0784B">
        <w:rPr>
          <w:rFonts w:ascii="Times New Roman" w:hAnsi="Times New Roman" w:cs="Times New Roman"/>
          <w:color w:val="000000" w:themeColor="text1"/>
          <w:sz w:val="24"/>
          <w:szCs w:val="24"/>
        </w:rPr>
        <w:lastRenderedPageBreak/>
        <w:t xml:space="preserve">register: the value of the asset, initial depreciation, if the asset had depreciated fully at the beginning of the year, the addition of more asset, disposal of the </w:t>
      </w:r>
      <w:r w:rsidR="00FB2E0A" w:rsidRPr="00E0784B">
        <w:rPr>
          <w:rFonts w:ascii="Times New Roman" w:hAnsi="Times New Roman" w:cs="Times New Roman"/>
          <w:color w:val="000000" w:themeColor="text1"/>
          <w:sz w:val="24"/>
          <w:szCs w:val="24"/>
        </w:rPr>
        <w:t>asset</w:t>
      </w:r>
      <w:r w:rsidR="00FB2E0A">
        <w:rPr>
          <w:rFonts w:ascii="Times New Roman" w:hAnsi="Times New Roman" w:cs="Times New Roman"/>
          <w:color w:val="000000" w:themeColor="text1"/>
          <w:sz w:val="24"/>
          <w:szCs w:val="24"/>
        </w:rPr>
        <w:t xml:space="preserve">, </w:t>
      </w:r>
      <w:r w:rsidR="00FB2E0A" w:rsidRPr="00E0784B">
        <w:rPr>
          <w:rFonts w:ascii="Times New Roman" w:hAnsi="Times New Roman" w:cs="Times New Roman"/>
          <w:color w:val="000000" w:themeColor="text1"/>
          <w:sz w:val="24"/>
          <w:szCs w:val="24"/>
        </w:rPr>
        <w:t>and</w:t>
      </w:r>
      <w:r w:rsidRPr="00E0784B">
        <w:rPr>
          <w:rFonts w:ascii="Times New Roman" w:hAnsi="Times New Roman" w:cs="Times New Roman"/>
          <w:color w:val="000000" w:themeColor="text1"/>
          <w:sz w:val="24"/>
          <w:szCs w:val="24"/>
        </w:rPr>
        <w:t xml:space="preserve"> the history of the value of the asset. The information accessed from the register will help in calculating the expected level of depreciation for new assets in the next six months. Also, the assets that are under construction will be evaluated and verified. The auditors will close the process by checking if the PPE value matches with the financial statement from the management.</w:t>
      </w:r>
    </w:p>
    <w:p w:rsidR="00CC3632" w:rsidRPr="00E0784B" w:rsidRDefault="000126AF" w:rsidP="00E0784B">
      <w:pPr>
        <w:spacing w:after="0" w:line="480" w:lineRule="auto"/>
        <w:ind w:firstLine="851"/>
        <w:jc w:val="center"/>
        <w:rPr>
          <w:rFonts w:ascii="Times New Roman" w:hAnsi="Times New Roman" w:cs="Times New Roman"/>
          <w:b/>
          <w:bCs/>
          <w:color w:val="000000" w:themeColor="text1"/>
          <w:sz w:val="24"/>
          <w:szCs w:val="24"/>
        </w:rPr>
      </w:pPr>
      <w:r w:rsidRPr="00E0784B">
        <w:rPr>
          <w:rFonts w:ascii="Times New Roman" w:hAnsi="Times New Roman" w:cs="Times New Roman"/>
          <w:b/>
          <w:bCs/>
          <w:color w:val="000000" w:themeColor="text1"/>
          <w:sz w:val="24"/>
          <w:szCs w:val="24"/>
        </w:rPr>
        <w:t>Test of Controls</w:t>
      </w:r>
    </w:p>
    <w:p w:rsidR="00CC3632"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The test of control will involve the measurement of the effectiveness of the m</w:t>
      </w:r>
      <w:r w:rsidR="0057477E">
        <w:rPr>
          <w:rFonts w:ascii="Times New Roman" w:hAnsi="Times New Roman" w:cs="Times New Roman"/>
          <w:color w:val="000000" w:themeColor="text1"/>
          <w:sz w:val="24"/>
          <w:szCs w:val="24"/>
        </w:rPr>
        <w:t>anagement technique</w:t>
      </w:r>
      <w:r w:rsidRPr="00E0784B">
        <w:rPr>
          <w:rFonts w:ascii="Times New Roman" w:hAnsi="Times New Roman" w:cs="Times New Roman"/>
          <w:color w:val="000000" w:themeColor="text1"/>
          <w:sz w:val="24"/>
          <w:szCs w:val="24"/>
        </w:rPr>
        <w:t xml:space="preserve"> used by the Titanic Inc. company to detect and prevent error in auditing the fixed assets. Depending on the results that will be established, the auditors will decide the control system to be used in the auditing process. If the results reveal that the controls that are used in the company are weak, substantive testing will be used. Three classifications will be included in testing controls.  Re</w:t>
      </w:r>
      <w:r w:rsidR="00FB2E0A">
        <w:rPr>
          <w:rFonts w:ascii="Times New Roman" w:hAnsi="Times New Roman" w:cs="Times New Roman"/>
          <w:color w:val="000000" w:themeColor="text1"/>
          <w:sz w:val="24"/>
          <w:szCs w:val="24"/>
        </w:rPr>
        <w:t>-</w:t>
      </w:r>
      <w:r w:rsidRPr="00E0784B">
        <w:rPr>
          <w:rFonts w:ascii="Times New Roman" w:hAnsi="Times New Roman" w:cs="Times New Roman"/>
          <w:color w:val="000000" w:themeColor="text1"/>
          <w:sz w:val="24"/>
          <w:szCs w:val="24"/>
        </w:rPr>
        <w:t xml:space="preserve">performance will </w:t>
      </w:r>
      <w:r w:rsidR="00E0784B" w:rsidRPr="00E0784B">
        <w:rPr>
          <w:rFonts w:ascii="Times New Roman" w:hAnsi="Times New Roman" w:cs="Times New Roman"/>
          <w:color w:val="000000" w:themeColor="text1"/>
          <w:sz w:val="24"/>
          <w:szCs w:val="24"/>
        </w:rPr>
        <w:t>is</w:t>
      </w:r>
      <w:r w:rsidRPr="00E0784B">
        <w:rPr>
          <w:rFonts w:ascii="Times New Roman" w:hAnsi="Times New Roman" w:cs="Times New Roman"/>
          <w:color w:val="000000" w:themeColor="text1"/>
          <w:sz w:val="24"/>
          <w:szCs w:val="24"/>
        </w:rPr>
        <w:t xml:space="preserve"> used to initiate a new transaction to evaluate the effectiveness of controls</w:t>
      </w:r>
      <w:r w:rsidR="00E0784B" w:rsidRPr="00E0784B">
        <w:rPr>
          <w:rFonts w:ascii="Times New Roman" w:hAnsi="Times New Roman" w:cs="Times New Roman"/>
          <w:color w:val="000000" w:themeColor="text1"/>
          <w:sz w:val="24"/>
          <w:szCs w:val="24"/>
        </w:rPr>
        <w:t xml:space="preserve"> (</w:t>
      </w:r>
      <w:r w:rsidR="00E0784B" w:rsidRPr="00E0784B">
        <w:rPr>
          <w:rFonts w:ascii="Times New Roman" w:hAnsi="Times New Roman" w:cs="Times New Roman"/>
          <w:color w:val="000000" w:themeColor="text1"/>
          <w:sz w:val="24"/>
          <w:szCs w:val="24"/>
          <w:shd w:val="clear" w:color="auto" w:fill="FFFFFF"/>
        </w:rPr>
        <w:t>Makaluas &amp; Pontoh</w:t>
      </w:r>
      <w:r w:rsidR="00FB2E0A" w:rsidRPr="00E0784B">
        <w:rPr>
          <w:rFonts w:ascii="Times New Roman" w:hAnsi="Times New Roman" w:cs="Times New Roman"/>
          <w:color w:val="000000" w:themeColor="text1"/>
          <w:sz w:val="24"/>
          <w:szCs w:val="24"/>
          <w:shd w:val="clear" w:color="auto" w:fill="FFFFFF"/>
        </w:rPr>
        <w:t>, 2018</w:t>
      </w:r>
      <w:r w:rsidR="00E0784B" w:rsidRPr="00E0784B">
        <w:rPr>
          <w:rFonts w:ascii="Times New Roman" w:hAnsi="Times New Roman" w:cs="Times New Roman"/>
          <w:color w:val="000000" w:themeColor="text1"/>
          <w:sz w:val="24"/>
          <w:szCs w:val="24"/>
          <w:shd w:val="clear" w:color="auto" w:fill="FFFFFF"/>
        </w:rPr>
        <w:t>)</w:t>
      </w:r>
      <w:r w:rsidRPr="00E0784B">
        <w:rPr>
          <w:rFonts w:ascii="Times New Roman" w:hAnsi="Times New Roman" w:cs="Times New Roman"/>
          <w:color w:val="000000" w:themeColor="text1"/>
          <w:sz w:val="24"/>
          <w:szCs w:val="24"/>
        </w:rPr>
        <w:t>. Observation will be used to assess the process of enterprise in the company to ensure that all elements that affect the fixed assets are controlled. The business documents will be approved in the inspection process by checking the stamps and signatures. The test of control will be carried out using a sample of materials that are used for transaction and keeping the records of the fixed assets in the company.</w:t>
      </w:r>
    </w:p>
    <w:p w:rsidR="007109EB" w:rsidRDefault="007109EB" w:rsidP="00E0784B">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Summary</w:t>
      </w:r>
    </w:p>
    <w:p w:rsidR="0002087F" w:rsidRPr="00E0784B" w:rsidRDefault="000126AF" w:rsidP="00E0784B">
      <w:pPr>
        <w:spacing w:after="0" w:line="480" w:lineRule="auto"/>
        <w:ind w:firstLine="851"/>
        <w:jc w:val="center"/>
        <w:rPr>
          <w:rFonts w:ascii="Times New Roman" w:hAnsi="Times New Roman" w:cs="Times New Roman"/>
          <w:b/>
          <w:bCs/>
          <w:color w:val="000000" w:themeColor="text1"/>
          <w:sz w:val="24"/>
          <w:szCs w:val="24"/>
        </w:rPr>
      </w:pPr>
      <w:r w:rsidRPr="00E0784B">
        <w:rPr>
          <w:rFonts w:ascii="Times New Roman" w:hAnsi="Times New Roman" w:cs="Times New Roman"/>
          <w:b/>
          <w:bCs/>
          <w:color w:val="000000" w:themeColor="text1"/>
          <w:sz w:val="24"/>
          <w:szCs w:val="24"/>
        </w:rPr>
        <w:t>PPE Audit and Cycle</w:t>
      </w:r>
    </w:p>
    <w:p w:rsid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 xml:space="preserve">The company is involved with three segments which are the international, construction and agricultural. The structure of the management determines the </w:t>
      </w:r>
      <w:r w:rsidR="008B1BA0">
        <w:rPr>
          <w:rFonts w:ascii="Times New Roman" w:hAnsi="Times New Roman" w:cs="Times New Roman"/>
          <w:color w:val="000000" w:themeColor="text1"/>
          <w:sz w:val="24"/>
          <w:szCs w:val="24"/>
        </w:rPr>
        <w:t xml:space="preserve">operation of the </w:t>
      </w:r>
      <w:r w:rsidRPr="00E0784B">
        <w:rPr>
          <w:rFonts w:ascii="Times New Roman" w:hAnsi="Times New Roman" w:cs="Times New Roman"/>
          <w:color w:val="000000" w:themeColor="text1"/>
          <w:sz w:val="24"/>
          <w:szCs w:val="24"/>
        </w:rPr>
        <w:t xml:space="preserve">sections. The factor that affects the sections is the geographical locations. The agricultural segments deal with machinery that is transported and sold. The sector also deals with </w:t>
      </w:r>
      <w:r w:rsidRPr="00E0784B">
        <w:rPr>
          <w:rFonts w:ascii="Times New Roman" w:hAnsi="Times New Roman" w:cs="Times New Roman"/>
          <w:color w:val="000000" w:themeColor="text1"/>
          <w:sz w:val="24"/>
          <w:szCs w:val="24"/>
        </w:rPr>
        <w:lastRenderedPageBreak/>
        <w:t>equipment and spare parts. Also, the international and construction segment is involved with similar assets. The revenue which is generated from the sales outside the USA as in 2020 was $236.1 million. The assets that were held in European subsidiaries on January 31st 2020 were valued at $11.4 million (</w:t>
      </w:r>
      <w:r w:rsidRPr="00E0784B">
        <w:rPr>
          <w:rFonts w:ascii="Times New Roman" w:hAnsi="Times New Roman" w:cs="Times New Roman"/>
          <w:color w:val="000000" w:themeColor="text1"/>
          <w:sz w:val="24"/>
          <w:szCs w:val="24"/>
          <w:shd w:val="clear" w:color="auto" w:fill="FFFFFF"/>
        </w:rPr>
        <w:t>Titan Machinery Inc.</w:t>
      </w:r>
      <w:r w:rsidR="00FB2E0A" w:rsidRPr="00E0784B">
        <w:rPr>
          <w:rFonts w:ascii="Times New Roman" w:hAnsi="Times New Roman" w:cs="Times New Roman"/>
          <w:color w:val="000000" w:themeColor="text1"/>
          <w:sz w:val="24"/>
          <w:szCs w:val="24"/>
          <w:shd w:val="clear" w:color="auto" w:fill="FFFFFF"/>
        </w:rPr>
        <w:t>, 2020</w:t>
      </w:r>
      <w:r w:rsidRPr="00E0784B">
        <w:rPr>
          <w:rFonts w:ascii="Times New Roman" w:hAnsi="Times New Roman" w:cs="Times New Roman"/>
          <w:color w:val="000000" w:themeColor="text1"/>
          <w:sz w:val="24"/>
          <w:szCs w:val="24"/>
          <w:shd w:val="clear" w:color="auto" w:fill="FFFFFF"/>
        </w:rPr>
        <w:t>)</w:t>
      </w:r>
      <w:r w:rsidRPr="00E0784B">
        <w:rPr>
          <w:rFonts w:ascii="Times New Roman" w:hAnsi="Times New Roman" w:cs="Times New Roman"/>
          <w:color w:val="000000" w:themeColor="text1"/>
          <w:sz w:val="24"/>
          <w:szCs w:val="24"/>
        </w:rPr>
        <w:t xml:space="preserve">. The company retains assets at the general commercial level, which </w:t>
      </w:r>
      <w:r w:rsidR="00762A9D">
        <w:rPr>
          <w:rFonts w:ascii="Times New Roman" w:hAnsi="Times New Roman" w:cs="Times New Roman"/>
          <w:color w:val="000000" w:themeColor="text1"/>
          <w:sz w:val="24"/>
          <w:szCs w:val="24"/>
        </w:rPr>
        <w:t>are</w:t>
      </w:r>
      <w:r w:rsidRPr="00E0784B">
        <w:rPr>
          <w:rFonts w:ascii="Times New Roman" w:hAnsi="Times New Roman" w:cs="Times New Roman"/>
          <w:color w:val="000000" w:themeColor="text1"/>
          <w:sz w:val="24"/>
          <w:szCs w:val="24"/>
        </w:rPr>
        <w:t xml:space="preserve"> refers to as the "shared resources." The shared resources </w:t>
      </w:r>
      <w:r w:rsidR="00975FA0" w:rsidRPr="00E0784B">
        <w:rPr>
          <w:rFonts w:ascii="Times New Roman" w:hAnsi="Times New Roman" w:cs="Times New Roman"/>
          <w:color w:val="000000" w:themeColor="text1"/>
          <w:sz w:val="24"/>
          <w:szCs w:val="24"/>
        </w:rPr>
        <w:t>consist</w:t>
      </w:r>
      <w:r w:rsidRPr="00E0784B">
        <w:rPr>
          <w:rFonts w:ascii="Times New Roman" w:hAnsi="Times New Roman" w:cs="Times New Roman"/>
          <w:color w:val="000000" w:themeColor="text1"/>
          <w:sz w:val="24"/>
          <w:szCs w:val="24"/>
        </w:rPr>
        <w:t xml:space="preserve"> of the equipment, property and cash. Total shared resources </w:t>
      </w:r>
      <w:r w:rsidR="00975FA0" w:rsidRPr="00E0784B">
        <w:rPr>
          <w:rFonts w:ascii="Times New Roman" w:hAnsi="Times New Roman" w:cs="Times New Roman"/>
          <w:color w:val="000000" w:themeColor="text1"/>
          <w:sz w:val="24"/>
          <w:szCs w:val="24"/>
        </w:rPr>
        <w:t>are</w:t>
      </w:r>
      <w:r w:rsidRPr="00E0784B">
        <w:rPr>
          <w:rFonts w:ascii="Times New Roman" w:hAnsi="Times New Roman" w:cs="Times New Roman"/>
          <w:color w:val="000000" w:themeColor="text1"/>
          <w:sz w:val="24"/>
          <w:szCs w:val="24"/>
        </w:rPr>
        <w:t xml:space="preserve"> valued at </w:t>
      </w:r>
      <w:r w:rsidR="00975FA0" w:rsidRPr="00E0784B">
        <w:rPr>
          <w:rFonts w:ascii="Times New Roman" w:hAnsi="Times New Roman" w:cs="Times New Roman"/>
          <w:color w:val="000000" w:themeColor="text1"/>
          <w:sz w:val="24"/>
          <w:szCs w:val="24"/>
        </w:rPr>
        <w:t>$1,598. The cost of total impairment was valued at $2,807 and $957 for agricultural and construction assets consecutively. The depreciation and amortization value for the assets were $5,095, $12,537 and $2,402 for agricultural, construction and international segment assets consecutively</w:t>
      </w:r>
      <w:r w:rsidRPr="00E0784B">
        <w:rPr>
          <w:rFonts w:ascii="Times New Roman" w:hAnsi="Times New Roman" w:cs="Times New Roman"/>
          <w:color w:val="000000" w:themeColor="text1"/>
          <w:sz w:val="24"/>
          <w:szCs w:val="24"/>
        </w:rPr>
        <w:t xml:space="preserve"> (</w:t>
      </w:r>
      <w:r w:rsidRPr="00E0784B">
        <w:rPr>
          <w:rFonts w:ascii="Times New Roman" w:hAnsi="Times New Roman" w:cs="Times New Roman"/>
          <w:color w:val="000000" w:themeColor="text1"/>
          <w:sz w:val="24"/>
          <w:szCs w:val="24"/>
          <w:shd w:val="clear" w:color="auto" w:fill="FFFFFF"/>
        </w:rPr>
        <w:t>Titan Machinery Inc.</w:t>
      </w:r>
      <w:r w:rsidR="00FB2E0A" w:rsidRPr="00E0784B">
        <w:rPr>
          <w:rFonts w:ascii="Times New Roman" w:hAnsi="Times New Roman" w:cs="Times New Roman"/>
          <w:color w:val="000000" w:themeColor="text1"/>
          <w:sz w:val="24"/>
          <w:szCs w:val="24"/>
          <w:shd w:val="clear" w:color="auto" w:fill="FFFFFF"/>
        </w:rPr>
        <w:t>, 2020</w:t>
      </w:r>
      <w:r w:rsidRPr="00E0784B">
        <w:rPr>
          <w:rFonts w:ascii="Times New Roman" w:hAnsi="Times New Roman" w:cs="Times New Roman"/>
          <w:color w:val="000000" w:themeColor="text1"/>
          <w:sz w:val="24"/>
          <w:szCs w:val="24"/>
          <w:shd w:val="clear" w:color="auto" w:fill="FFFFFF"/>
        </w:rPr>
        <w:t>)</w:t>
      </w:r>
      <w:r w:rsidR="00975FA0" w:rsidRPr="00E0784B">
        <w:rPr>
          <w:rFonts w:ascii="Times New Roman" w:hAnsi="Times New Roman" w:cs="Times New Roman"/>
          <w:color w:val="000000" w:themeColor="text1"/>
          <w:sz w:val="24"/>
          <w:szCs w:val="24"/>
        </w:rPr>
        <w:t>. The company expects that PPE will lead to economic benefit in the next three years. The cost of each asset is estimated reliably in the company. Price of each PPE includes the rebates, discounts, taxes and import duties. The installation expenses of the machinery are accounted for in the accounts book.</w:t>
      </w:r>
    </w:p>
    <w:p w:rsidR="00D946FE"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 xml:space="preserve">However, the company does not mention the Asset Retirement Obligation (ARO). The assets of Titanic Inc. </w:t>
      </w:r>
      <w:r w:rsidR="00FB2E0A" w:rsidRPr="00E0784B">
        <w:rPr>
          <w:rFonts w:ascii="Times New Roman" w:hAnsi="Times New Roman" w:cs="Times New Roman"/>
          <w:color w:val="000000" w:themeColor="text1"/>
          <w:sz w:val="24"/>
          <w:szCs w:val="24"/>
        </w:rPr>
        <w:t>Company</w:t>
      </w:r>
      <w:r w:rsidRPr="00E0784B">
        <w:rPr>
          <w:rFonts w:ascii="Times New Roman" w:hAnsi="Times New Roman" w:cs="Times New Roman"/>
          <w:color w:val="000000" w:themeColor="text1"/>
          <w:sz w:val="24"/>
          <w:szCs w:val="24"/>
        </w:rPr>
        <w:t xml:space="preserve"> are repaired and replaced regularly after five years. This gives the company the chance to adapt to new technological innovations that are developed. However, the assets are evaluated for replacement when necessary. </w:t>
      </w:r>
      <w:r w:rsidR="00C632DF" w:rsidRPr="00E0784B">
        <w:rPr>
          <w:rFonts w:ascii="Times New Roman" w:hAnsi="Times New Roman" w:cs="Times New Roman"/>
          <w:color w:val="000000" w:themeColor="text1"/>
          <w:sz w:val="24"/>
          <w:szCs w:val="24"/>
        </w:rPr>
        <w:t xml:space="preserve">The repair expenses are straightforward </w:t>
      </w:r>
      <w:r w:rsidR="006222DC">
        <w:rPr>
          <w:rFonts w:ascii="Times New Roman" w:hAnsi="Times New Roman" w:cs="Times New Roman"/>
          <w:color w:val="000000" w:themeColor="text1"/>
          <w:sz w:val="24"/>
          <w:szCs w:val="24"/>
        </w:rPr>
        <w:t>in the company’s</w:t>
      </w:r>
      <w:r w:rsidR="00C632DF" w:rsidRPr="00E0784B">
        <w:rPr>
          <w:rFonts w:ascii="Times New Roman" w:hAnsi="Times New Roman" w:cs="Times New Roman"/>
          <w:color w:val="000000" w:themeColor="text1"/>
          <w:sz w:val="24"/>
          <w:szCs w:val="24"/>
        </w:rPr>
        <w:t xml:space="preserve"> record. Therefore, the company does not face difficulties in monitoring the repair of the assets. Depreciation is a factor that has been reported to be challenging in the company as it reduces the value of the PPE. The longer the assets are </w:t>
      </w:r>
      <w:r w:rsidR="00FB2E0A" w:rsidRPr="00E0784B">
        <w:rPr>
          <w:rFonts w:ascii="Times New Roman" w:hAnsi="Times New Roman" w:cs="Times New Roman"/>
          <w:color w:val="000000" w:themeColor="text1"/>
          <w:sz w:val="24"/>
          <w:szCs w:val="24"/>
        </w:rPr>
        <w:t>used;</w:t>
      </w:r>
      <w:r w:rsidR="00C632DF" w:rsidRPr="00E0784B">
        <w:rPr>
          <w:rFonts w:ascii="Times New Roman" w:hAnsi="Times New Roman" w:cs="Times New Roman"/>
          <w:color w:val="000000" w:themeColor="text1"/>
          <w:sz w:val="24"/>
          <w:szCs w:val="24"/>
        </w:rPr>
        <w:t xml:space="preserve"> they tear and wear out, which reduces their usefulness in the company. The presence of unused PPE in the company has led to challenges in accounting the assets on the balance sheet. The depreciating value of the assets affects the other net balance as it is recorded as expenses</w:t>
      </w:r>
      <w:r w:rsidR="00E0784B" w:rsidRPr="00E0784B">
        <w:rPr>
          <w:rFonts w:ascii="Times New Roman" w:hAnsi="Times New Roman" w:cs="Times New Roman"/>
          <w:color w:val="000000" w:themeColor="text1"/>
          <w:sz w:val="24"/>
          <w:szCs w:val="24"/>
        </w:rPr>
        <w:t xml:space="preserve"> (</w:t>
      </w:r>
      <w:r w:rsidR="00E0784B" w:rsidRPr="00E0784B">
        <w:rPr>
          <w:rFonts w:ascii="Times New Roman" w:hAnsi="Times New Roman" w:cs="Times New Roman"/>
          <w:color w:val="000000" w:themeColor="text1"/>
          <w:sz w:val="24"/>
          <w:szCs w:val="24"/>
          <w:shd w:val="clear" w:color="auto" w:fill="FFFFFF"/>
        </w:rPr>
        <w:t>Makaluas &amp; Pontoh</w:t>
      </w:r>
      <w:r w:rsidR="00FB2E0A" w:rsidRPr="00E0784B">
        <w:rPr>
          <w:rFonts w:ascii="Times New Roman" w:hAnsi="Times New Roman" w:cs="Times New Roman"/>
          <w:color w:val="000000" w:themeColor="text1"/>
          <w:sz w:val="24"/>
          <w:szCs w:val="24"/>
          <w:shd w:val="clear" w:color="auto" w:fill="FFFFFF"/>
        </w:rPr>
        <w:t>, 2018</w:t>
      </w:r>
      <w:r w:rsidR="00E0784B" w:rsidRPr="00E0784B">
        <w:rPr>
          <w:rFonts w:ascii="Times New Roman" w:hAnsi="Times New Roman" w:cs="Times New Roman"/>
          <w:color w:val="000000" w:themeColor="text1"/>
          <w:sz w:val="24"/>
          <w:szCs w:val="24"/>
          <w:shd w:val="clear" w:color="auto" w:fill="FFFFFF"/>
        </w:rPr>
        <w:t>)</w:t>
      </w:r>
      <w:r w:rsidR="00C632DF" w:rsidRPr="00E0784B">
        <w:rPr>
          <w:rFonts w:ascii="Times New Roman" w:hAnsi="Times New Roman" w:cs="Times New Roman"/>
          <w:color w:val="000000" w:themeColor="text1"/>
          <w:sz w:val="24"/>
          <w:szCs w:val="24"/>
        </w:rPr>
        <w:t xml:space="preserve">. However, the company is performing well in keeping track of fixed assets through the schedules that show the records of the fixed assets over the </w:t>
      </w:r>
      <w:r w:rsidR="00C632DF" w:rsidRPr="00E0784B">
        <w:rPr>
          <w:rFonts w:ascii="Times New Roman" w:hAnsi="Times New Roman" w:cs="Times New Roman"/>
          <w:color w:val="000000" w:themeColor="text1"/>
          <w:sz w:val="24"/>
          <w:szCs w:val="24"/>
        </w:rPr>
        <w:lastRenderedPageBreak/>
        <w:t xml:space="preserve">years. The program helps the company to prepare financial statements while making a comparison of their progress. </w:t>
      </w:r>
      <w:r w:rsidR="00652769" w:rsidRPr="00E0784B">
        <w:rPr>
          <w:rFonts w:ascii="Times New Roman" w:hAnsi="Times New Roman" w:cs="Times New Roman"/>
          <w:color w:val="000000" w:themeColor="text1"/>
          <w:sz w:val="24"/>
          <w:szCs w:val="24"/>
        </w:rPr>
        <w:t>The main challenge that was linked to the Titanic Inc. company in the auditing was the lack of assessment of the inherent risks by the auditors. The company can address this problem by involving more audit firm executives' managers and partners in planning and carrying out the audit process.</w:t>
      </w:r>
    </w:p>
    <w:p w:rsidR="00652769" w:rsidRPr="00E0784B" w:rsidRDefault="000126AF" w:rsidP="00E0784B">
      <w:pPr>
        <w:spacing w:after="0" w:line="480" w:lineRule="auto"/>
        <w:ind w:firstLine="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t>In conclusion, the auditing of PPE for Titanic Machinery Inc. based on the risks involved and the test of control is a significant process which informs about the status of the company concerning the fixed assets. Fixed assets are essential to be evaluated in the auditing process to determine their effectiveness in enhancing the operation of the company. Also, the auditing process helps the company to be able to account for the PPE of the company and maintain its financial flow.</w:t>
      </w: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E0784B">
      <w:pPr>
        <w:spacing w:after="0" w:line="480" w:lineRule="auto"/>
        <w:ind w:firstLine="851"/>
        <w:rPr>
          <w:rFonts w:ascii="Times New Roman" w:hAnsi="Times New Roman" w:cs="Times New Roman"/>
          <w:color w:val="000000" w:themeColor="text1"/>
          <w:sz w:val="24"/>
          <w:szCs w:val="24"/>
        </w:rPr>
      </w:pPr>
    </w:p>
    <w:p w:rsidR="00E0784B" w:rsidRDefault="00E0784B" w:rsidP="007109EB">
      <w:pPr>
        <w:spacing w:after="0" w:line="480" w:lineRule="auto"/>
        <w:rPr>
          <w:rFonts w:ascii="Times New Roman" w:hAnsi="Times New Roman" w:cs="Times New Roman"/>
          <w:color w:val="000000" w:themeColor="text1"/>
          <w:sz w:val="24"/>
          <w:szCs w:val="24"/>
        </w:rPr>
      </w:pPr>
    </w:p>
    <w:p w:rsidR="00652769" w:rsidRPr="00E0784B" w:rsidRDefault="000126AF" w:rsidP="00E0784B">
      <w:pPr>
        <w:spacing w:after="0" w:line="480" w:lineRule="auto"/>
        <w:ind w:firstLine="851"/>
        <w:jc w:val="center"/>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rPr>
        <w:lastRenderedPageBreak/>
        <w:t>References</w:t>
      </w:r>
    </w:p>
    <w:p w:rsidR="00E0784B" w:rsidRPr="00E0784B" w:rsidRDefault="000126AF" w:rsidP="00E0784B">
      <w:pPr>
        <w:spacing w:after="0" w:line="480" w:lineRule="auto"/>
        <w:ind w:left="851" w:hanging="851"/>
        <w:rPr>
          <w:rFonts w:ascii="Times New Roman" w:hAnsi="Times New Roman" w:cs="Times New Roman"/>
          <w:color w:val="000000" w:themeColor="text1"/>
          <w:sz w:val="24"/>
          <w:szCs w:val="24"/>
          <w:shd w:val="clear" w:color="auto" w:fill="FFFFFF"/>
        </w:rPr>
      </w:pPr>
      <w:r w:rsidRPr="00E0784B">
        <w:rPr>
          <w:rFonts w:ascii="Times New Roman" w:hAnsi="Times New Roman" w:cs="Times New Roman"/>
          <w:color w:val="000000" w:themeColor="text1"/>
          <w:sz w:val="24"/>
          <w:szCs w:val="24"/>
          <w:shd w:val="clear" w:color="auto" w:fill="FFFFFF"/>
        </w:rPr>
        <w:t>Hay, D. (2014). Auditing, International Auditing and the International Journal of Auditing: Editorial. </w:t>
      </w:r>
      <w:r w:rsidRPr="00E0784B">
        <w:rPr>
          <w:rFonts w:ascii="Times New Roman" w:hAnsi="Times New Roman" w:cs="Times New Roman"/>
          <w:i/>
          <w:iCs/>
          <w:color w:val="000000" w:themeColor="text1"/>
          <w:sz w:val="24"/>
          <w:szCs w:val="24"/>
          <w:shd w:val="clear" w:color="auto" w:fill="FFFFFF"/>
        </w:rPr>
        <w:t>International Journal of Auditing</w:t>
      </w:r>
      <w:r w:rsidRPr="00E0784B">
        <w:rPr>
          <w:rFonts w:ascii="Times New Roman" w:hAnsi="Times New Roman" w:cs="Times New Roman"/>
          <w:color w:val="000000" w:themeColor="text1"/>
          <w:sz w:val="24"/>
          <w:szCs w:val="24"/>
          <w:shd w:val="clear" w:color="auto" w:fill="FFFFFF"/>
        </w:rPr>
        <w:t>, </w:t>
      </w:r>
      <w:r w:rsidRPr="00E0784B">
        <w:rPr>
          <w:rFonts w:ascii="Times New Roman" w:hAnsi="Times New Roman" w:cs="Times New Roman"/>
          <w:i/>
          <w:iCs/>
          <w:color w:val="000000" w:themeColor="text1"/>
          <w:sz w:val="24"/>
          <w:szCs w:val="24"/>
          <w:shd w:val="clear" w:color="auto" w:fill="FFFFFF"/>
        </w:rPr>
        <w:t>18</w:t>
      </w:r>
      <w:r w:rsidRPr="00E0784B">
        <w:rPr>
          <w:rFonts w:ascii="Times New Roman" w:hAnsi="Times New Roman" w:cs="Times New Roman"/>
          <w:color w:val="000000" w:themeColor="text1"/>
          <w:sz w:val="24"/>
          <w:szCs w:val="24"/>
          <w:shd w:val="clear" w:color="auto" w:fill="FFFFFF"/>
        </w:rPr>
        <w:t>(1), 1-1. doi: 10.1111/ijau.12020</w:t>
      </w:r>
    </w:p>
    <w:p w:rsidR="00E0784B" w:rsidRPr="00E0784B" w:rsidRDefault="000126AF" w:rsidP="00E0784B">
      <w:pPr>
        <w:spacing w:after="0" w:line="480" w:lineRule="auto"/>
        <w:ind w:left="851" w:hanging="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shd w:val="clear" w:color="auto" w:fill="FFFFFF"/>
        </w:rPr>
        <w:t>Makaluas, J., &amp; Pontoh, W. (2018). Analysis of Internal Control of Fixed Assets in Pt. Lumbung Berkat Indonesia. </w:t>
      </w:r>
      <w:r w:rsidRPr="00E0784B">
        <w:rPr>
          <w:rFonts w:ascii="Times New Roman" w:hAnsi="Times New Roman" w:cs="Times New Roman"/>
          <w:i/>
          <w:iCs/>
          <w:color w:val="000000" w:themeColor="text1"/>
          <w:sz w:val="24"/>
          <w:szCs w:val="24"/>
          <w:shd w:val="clear" w:color="auto" w:fill="FFFFFF"/>
        </w:rPr>
        <w:t>Accountability</w:t>
      </w:r>
      <w:r w:rsidRPr="00E0784B">
        <w:rPr>
          <w:rFonts w:ascii="Times New Roman" w:hAnsi="Times New Roman" w:cs="Times New Roman"/>
          <w:color w:val="000000" w:themeColor="text1"/>
          <w:sz w:val="24"/>
          <w:szCs w:val="24"/>
          <w:shd w:val="clear" w:color="auto" w:fill="FFFFFF"/>
        </w:rPr>
        <w:t>, </w:t>
      </w:r>
      <w:r w:rsidRPr="00E0784B">
        <w:rPr>
          <w:rFonts w:ascii="Times New Roman" w:hAnsi="Times New Roman" w:cs="Times New Roman"/>
          <w:i/>
          <w:iCs/>
          <w:color w:val="000000" w:themeColor="text1"/>
          <w:sz w:val="24"/>
          <w:szCs w:val="24"/>
          <w:shd w:val="clear" w:color="auto" w:fill="FFFFFF"/>
        </w:rPr>
        <w:t>7</w:t>
      </w:r>
      <w:r w:rsidRPr="00E0784B">
        <w:rPr>
          <w:rFonts w:ascii="Times New Roman" w:hAnsi="Times New Roman" w:cs="Times New Roman"/>
          <w:color w:val="000000" w:themeColor="text1"/>
          <w:sz w:val="24"/>
          <w:szCs w:val="24"/>
          <w:shd w:val="clear" w:color="auto" w:fill="FFFFFF"/>
        </w:rPr>
        <w:t>(01), 1. doi: 10.32400/ja.19071.7.01.2018.1-10</w:t>
      </w:r>
    </w:p>
    <w:p w:rsidR="00E0784B" w:rsidRPr="00E0784B" w:rsidRDefault="000126AF" w:rsidP="00E0784B">
      <w:pPr>
        <w:spacing w:after="0" w:line="480" w:lineRule="auto"/>
        <w:ind w:left="851" w:hanging="851"/>
        <w:rPr>
          <w:rFonts w:ascii="Times New Roman" w:hAnsi="Times New Roman" w:cs="Times New Roman"/>
          <w:color w:val="000000" w:themeColor="text1"/>
          <w:sz w:val="24"/>
          <w:szCs w:val="24"/>
        </w:rPr>
      </w:pPr>
      <w:r w:rsidRPr="00E0784B">
        <w:rPr>
          <w:rFonts w:ascii="Times New Roman" w:hAnsi="Times New Roman" w:cs="Times New Roman"/>
          <w:color w:val="000000" w:themeColor="text1"/>
          <w:sz w:val="24"/>
          <w:szCs w:val="24"/>
          <w:shd w:val="clear" w:color="auto" w:fill="FFFFFF"/>
        </w:rPr>
        <w:t xml:space="preserve">Titan Machinery Inc. (2020). </w:t>
      </w:r>
      <w:r w:rsidRPr="00E0784B">
        <w:rPr>
          <w:rFonts w:ascii="Times New Roman" w:hAnsi="Times New Roman" w:cs="Times New Roman"/>
          <w:i/>
          <w:iCs/>
          <w:color w:val="000000" w:themeColor="text1"/>
          <w:sz w:val="24"/>
          <w:szCs w:val="24"/>
          <w:shd w:val="clear" w:color="auto" w:fill="FFFFFF"/>
        </w:rPr>
        <w:t xml:space="preserve">Annual Report on Form 10-K. </w:t>
      </w:r>
      <w:r w:rsidRPr="00E0784B">
        <w:rPr>
          <w:rFonts w:ascii="Times New Roman" w:hAnsi="Times New Roman" w:cs="Times New Roman"/>
          <w:noProof/>
          <w:color w:val="000000" w:themeColor="text1"/>
          <w:sz w:val="24"/>
          <w:szCs w:val="24"/>
        </w:rPr>
        <w:t>Washington, D.C.: Securities and Exchange Commission.</w:t>
      </w:r>
      <w:r w:rsidRPr="00E0784B">
        <w:rPr>
          <w:rFonts w:ascii="Times New Roman" w:hAnsi="Times New Roman" w:cs="Times New Roman"/>
          <w:color w:val="000000" w:themeColor="text1"/>
          <w:sz w:val="24"/>
          <w:szCs w:val="24"/>
          <w:shd w:val="clear" w:color="auto" w:fill="FFFFFF"/>
        </w:rPr>
        <w:t xml:space="preserve">Retrieved May 14th, 2020, from </w:t>
      </w:r>
      <w:hyperlink r:id="rId6" w:history="1">
        <w:r w:rsidRPr="00E0784B">
          <w:rPr>
            <w:rStyle w:val="Hyperlink"/>
            <w:rFonts w:ascii="Times New Roman" w:hAnsi="Times New Roman" w:cs="Times New Roman"/>
            <w:color w:val="000000" w:themeColor="text1"/>
            <w:sz w:val="24"/>
            <w:szCs w:val="24"/>
            <w:u w:val="none"/>
            <w:shd w:val="clear" w:color="auto" w:fill="FFFFFF"/>
          </w:rPr>
          <w:t>https://www.sec.gov/Archives/edgar/data/1409171/000140917120000015/a10kfy20.htm</w:t>
        </w:r>
      </w:hyperlink>
    </w:p>
    <w:p w:rsidR="00652769" w:rsidRPr="00E0784B" w:rsidRDefault="00652769" w:rsidP="00E0784B">
      <w:pPr>
        <w:spacing w:after="0" w:line="480" w:lineRule="auto"/>
        <w:ind w:firstLine="851"/>
        <w:rPr>
          <w:rFonts w:ascii="Times New Roman" w:hAnsi="Times New Roman" w:cs="Times New Roman"/>
          <w:color w:val="000000" w:themeColor="text1"/>
          <w:sz w:val="24"/>
          <w:szCs w:val="24"/>
        </w:rPr>
      </w:pPr>
    </w:p>
    <w:p w:rsidR="00652769" w:rsidRPr="00E0784B" w:rsidRDefault="00652769" w:rsidP="00E0784B">
      <w:pPr>
        <w:spacing w:after="0" w:line="480" w:lineRule="auto"/>
        <w:ind w:firstLine="851"/>
        <w:rPr>
          <w:rFonts w:ascii="Times New Roman" w:hAnsi="Times New Roman" w:cs="Times New Roman"/>
          <w:color w:val="000000" w:themeColor="text1"/>
          <w:sz w:val="24"/>
          <w:szCs w:val="24"/>
        </w:rPr>
      </w:pPr>
    </w:p>
    <w:p w:rsidR="00C632DF" w:rsidRPr="00E0784B" w:rsidRDefault="00C632DF" w:rsidP="00E0784B">
      <w:pPr>
        <w:spacing w:after="0" w:line="480" w:lineRule="auto"/>
        <w:ind w:firstLine="851"/>
        <w:rPr>
          <w:rFonts w:ascii="Times New Roman" w:hAnsi="Times New Roman" w:cs="Times New Roman"/>
          <w:color w:val="000000" w:themeColor="text1"/>
          <w:sz w:val="24"/>
          <w:szCs w:val="24"/>
        </w:rPr>
      </w:pPr>
    </w:p>
    <w:p w:rsidR="00D946FE" w:rsidRPr="00E0784B" w:rsidRDefault="00D946FE" w:rsidP="00E0784B">
      <w:pPr>
        <w:spacing w:after="0" w:line="480" w:lineRule="auto"/>
        <w:ind w:firstLine="851"/>
        <w:rPr>
          <w:rFonts w:ascii="Times New Roman" w:hAnsi="Times New Roman" w:cs="Times New Roman"/>
          <w:color w:val="000000" w:themeColor="text1"/>
          <w:sz w:val="24"/>
          <w:szCs w:val="24"/>
        </w:rPr>
      </w:pPr>
    </w:p>
    <w:p w:rsidR="005E7746" w:rsidRPr="00E0784B" w:rsidRDefault="005E7746" w:rsidP="00E0784B">
      <w:pPr>
        <w:spacing w:after="0" w:line="480" w:lineRule="auto"/>
        <w:ind w:firstLine="851"/>
        <w:rPr>
          <w:rFonts w:ascii="Times New Roman" w:hAnsi="Times New Roman" w:cs="Times New Roman"/>
          <w:color w:val="000000" w:themeColor="text1"/>
          <w:sz w:val="24"/>
          <w:szCs w:val="24"/>
        </w:rPr>
      </w:pPr>
    </w:p>
    <w:sectPr w:rsidR="005E7746" w:rsidRPr="00E0784B" w:rsidSect="00E0784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031" w:rsidRDefault="00512031" w:rsidP="00F80EF0">
      <w:pPr>
        <w:spacing w:after="0" w:line="240" w:lineRule="auto"/>
      </w:pPr>
      <w:r>
        <w:separator/>
      </w:r>
    </w:p>
  </w:endnote>
  <w:endnote w:type="continuationSeparator" w:id="1">
    <w:p w:rsidR="00512031" w:rsidRDefault="00512031" w:rsidP="00F80E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031" w:rsidRDefault="00512031" w:rsidP="00F80EF0">
      <w:pPr>
        <w:spacing w:after="0" w:line="240" w:lineRule="auto"/>
      </w:pPr>
      <w:r>
        <w:separator/>
      </w:r>
    </w:p>
  </w:footnote>
  <w:footnote w:type="continuationSeparator" w:id="1">
    <w:p w:rsidR="00512031" w:rsidRDefault="00512031" w:rsidP="00F80E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4B" w:rsidRPr="00E0784B" w:rsidRDefault="000126AF" w:rsidP="00E0784B">
    <w:pPr>
      <w:pStyle w:val="Header"/>
      <w:rPr>
        <w:rFonts w:ascii="Times New Roman" w:hAnsi="Times New Roman" w:cs="Times New Roman"/>
        <w:sz w:val="24"/>
        <w:szCs w:val="24"/>
      </w:rPr>
    </w:pPr>
    <w:r w:rsidRPr="00E0784B">
      <w:rPr>
        <w:rFonts w:ascii="Times New Roman" w:hAnsi="Times New Roman" w:cs="Times New Roman"/>
        <w:sz w:val="24"/>
        <w:szCs w:val="24"/>
      </w:rPr>
      <w:t xml:space="preserve">TITANIC MACHINERY </w:t>
    </w:r>
    <w:r>
      <w:rPr>
        <w:rFonts w:ascii="Times New Roman" w:hAnsi="Times New Roman" w:cs="Times New Roman"/>
        <w:sz w:val="24"/>
        <w:szCs w:val="24"/>
      </w:rPr>
      <w:t xml:space="preserve">INC. </w:t>
    </w:r>
    <w:r w:rsidRPr="00E0784B">
      <w:rPr>
        <w:rFonts w:ascii="Times New Roman" w:hAnsi="Times New Roman" w:cs="Times New Roman"/>
        <w:sz w:val="24"/>
        <w:szCs w:val="24"/>
      </w:rPr>
      <w:t>AUDITING</w:t>
    </w:r>
    <w:sdt>
      <w:sdtPr>
        <w:rPr>
          <w:rFonts w:ascii="Times New Roman" w:hAnsi="Times New Roman" w:cs="Times New Roman"/>
          <w:sz w:val="24"/>
          <w:szCs w:val="24"/>
        </w:rPr>
        <w:id w:val="19201082"/>
        <w:docPartObj>
          <w:docPartGallery w:val="Page Numbers (Top of Page)"/>
          <w:docPartUnique/>
        </w:docPartObj>
      </w:sdtPr>
      <w:sdtEndPr>
        <w:rPr>
          <w:noProof/>
        </w:rPr>
      </w:sdtEndPr>
      <w:sdtContent>
        <w:r w:rsidR="007109EB">
          <w:rPr>
            <w:rFonts w:ascii="Times New Roman" w:hAnsi="Times New Roman" w:cs="Times New Roman"/>
            <w:sz w:val="24"/>
            <w:szCs w:val="24"/>
          </w:rPr>
          <w:t xml:space="preserve">                                                                           </w:t>
        </w:r>
        <w:r w:rsidR="00AB4125" w:rsidRPr="00E0784B">
          <w:rPr>
            <w:rFonts w:ascii="Times New Roman" w:hAnsi="Times New Roman" w:cs="Times New Roman"/>
            <w:sz w:val="24"/>
            <w:szCs w:val="24"/>
          </w:rPr>
          <w:fldChar w:fldCharType="begin"/>
        </w:r>
        <w:r w:rsidRPr="00E0784B">
          <w:rPr>
            <w:rFonts w:ascii="Times New Roman" w:hAnsi="Times New Roman" w:cs="Times New Roman"/>
            <w:sz w:val="24"/>
            <w:szCs w:val="24"/>
          </w:rPr>
          <w:instrText xml:space="preserve"> PAGE   \* MERGEFORMAT </w:instrText>
        </w:r>
        <w:r w:rsidR="00AB4125" w:rsidRPr="00E0784B">
          <w:rPr>
            <w:rFonts w:ascii="Times New Roman" w:hAnsi="Times New Roman" w:cs="Times New Roman"/>
            <w:sz w:val="24"/>
            <w:szCs w:val="24"/>
          </w:rPr>
          <w:fldChar w:fldCharType="separate"/>
        </w:r>
        <w:r w:rsidR="00FB2E0A">
          <w:rPr>
            <w:rFonts w:ascii="Times New Roman" w:hAnsi="Times New Roman" w:cs="Times New Roman"/>
            <w:noProof/>
            <w:sz w:val="24"/>
            <w:szCs w:val="24"/>
          </w:rPr>
          <w:t>4</w:t>
        </w:r>
        <w:r w:rsidR="00AB4125" w:rsidRPr="00E0784B">
          <w:rPr>
            <w:rFonts w:ascii="Times New Roman" w:hAnsi="Times New Roman" w:cs="Times New Roman"/>
            <w:noProof/>
            <w:sz w:val="24"/>
            <w:szCs w:val="24"/>
          </w:rPr>
          <w:fldChar w:fldCharType="end"/>
        </w:r>
      </w:sdtContent>
    </w:sdt>
  </w:p>
  <w:p w:rsidR="00E0784B" w:rsidRDefault="00E078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4B" w:rsidRPr="00E0784B" w:rsidRDefault="000126AF" w:rsidP="00E0784B">
    <w:pPr>
      <w:pStyle w:val="Header"/>
      <w:rPr>
        <w:rFonts w:ascii="Times New Roman" w:hAnsi="Times New Roman" w:cs="Times New Roman"/>
        <w:sz w:val="24"/>
        <w:szCs w:val="24"/>
      </w:rPr>
    </w:pPr>
    <w:r w:rsidRPr="00E0784B">
      <w:rPr>
        <w:rFonts w:ascii="Times New Roman" w:hAnsi="Times New Roman" w:cs="Times New Roman"/>
        <w:sz w:val="24"/>
        <w:szCs w:val="24"/>
      </w:rPr>
      <w:t xml:space="preserve">Running head: TITANIC MACHINERY </w:t>
    </w:r>
    <w:r>
      <w:rPr>
        <w:rFonts w:ascii="Times New Roman" w:hAnsi="Times New Roman" w:cs="Times New Roman"/>
        <w:sz w:val="24"/>
        <w:szCs w:val="24"/>
      </w:rPr>
      <w:t xml:space="preserve">INC. </w:t>
    </w:r>
    <w:r w:rsidRPr="00E0784B">
      <w:rPr>
        <w:rFonts w:ascii="Times New Roman" w:hAnsi="Times New Roman" w:cs="Times New Roman"/>
        <w:sz w:val="24"/>
        <w:szCs w:val="24"/>
      </w:rPr>
      <w:t>AUDITING</w:t>
    </w:r>
    <w:sdt>
      <w:sdtPr>
        <w:rPr>
          <w:rFonts w:ascii="Times New Roman" w:hAnsi="Times New Roman" w:cs="Times New Roman"/>
          <w:sz w:val="24"/>
          <w:szCs w:val="24"/>
        </w:rPr>
        <w:id w:val="873812099"/>
        <w:docPartObj>
          <w:docPartGallery w:val="Page Numbers (Top of Page)"/>
          <w:docPartUnique/>
        </w:docPartObj>
      </w:sdtPr>
      <w:sdtEndPr>
        <w:rPr>
          <w:noProof/>
        </w:rPr>
      </w:sdtEndPr>
      <w:sdtContent>
        <w:r w:rsidR="007109EB">
          <w:rPr>
            <w:rFonts w:ascii="Times New Roman" w:hAnsi="Times New Roman" w:cs="Times New Roman"/>
            <w:sz w:val="24"/>
            <w:szCs w:val="24"/>
          </w:rPr>
          <w:t xml:space="preserve">                                                    </w:t>
        </w:r>
        <w:r w:rsidR="00AB4125" w:rsidRPr="00E0784B">
          <w:rPr>
            <w:rFonts w:ascii="Times New Roman" w:hAnsi="Times New Roman" w:cs="Times New Roman"/>
            <w:sz w:val="24"/>
            <w:szCs w:val="24"/>
          </w:rPr>
          <w:fldChar w:fldCharType="begin"/>
        </w:r>
        <w:r w:rsidRPr="00E0784B">
          <w:rPr>
            <w:rFonts w:ascii="Times New Roman" w:hAnsi="Times New Roman" w:cs="Times New Roman"/>
            <w:sz w:val="24"/>
            <w:szCs w:val="24"/>
          </w:rPr>
          <w:instrText xml:space="preserve"> PAGE   \* MERGEFORMAT </w:instrText>
        </w:r>
        <w:r w:rsidR="00AB4125" w:rsidRPr="00E0784B">
          <w:rPr>
            <w:rFonts w:ascii="Times New Roman" w:hAnsi="Times New Roman" w:cs="Times New Roman"/>
            <w:sz w:val="24"/>
            <w:szCs w:val="24"/>
          </w:rPr>
          <w:fldChar w:fldCharType="separate"/>
        </w:r>
        <w:r w:rsidR="00FB2E0A">
          <w:rPr>
            <w:rFonts w:ascii="Times New Roman" w:hAnsi="Times New Roman" w:cs="Times New Roman"/>
            <w:noProof/>
            <w:sz w:val="24"/>
            <w:szCs w:val="24"/>
          </w:rPr>
          <w:t>1</w:t>
        </w:r>
        <w:r w:rsidR="00AB4125" w:rsidRPr="00E0784B">
          <w:rPr>
            <w:rFonts w:ascii="Times New Roman" w:hAnsi="Times New Roman" w:cs="Times New Roman"/>
            <w:noProof/>
            <w:sz w:val="24"/>
            <w:szCs w:val="24"/>
          </w:rPr>
          <w:fldChar w:fldCharType="end"/>
        </w:r>
      </w:sdtContent>
    </w:sdt>
  </w:p>
  <w:p w:rsidR="00E0784B" w:rsidRDefault="00E0784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1MjAytbQwNbIwNDZT0lEKTi0uzszPAykwqgUAOd/shSwAAAA="/>
  </w:docVars>
  <w:rsids>
    <w:rsidRoot w:val="00CC009F"/>
    <w:rsid w:val="000126AF"/>
    <w:rsid w:val="0002087F"/>
    <w:rsid w:val="000F699B"/>
    <w:rsid w:val="001138D7"/>
    <w:rsid w:val="001D149A"/>
    <w:rsid w:val="00205AFD"/>
    <w:rsid w:val="0043517F"/>
    <w:rsid w:val="00512031"/>
    <w:rsid w:val="00513ECC"/>
    <w:rsid w:val="0057477E"/>
    <w:rsid w:val="005E7746"/>
    <w:rsid w:val="006222DC"/>
    <w:rsid w:val="00652769"/>
    <w:rsid w:val="00681D1B"/>
    <w:rsid w:val="00695EAA"/>
    <w:rsid w:val="007109EB"/>
    <w:rsid w:val="00762A9D"/>
    <w:rsid w:val="007F1BD4"/>
    <w:rsid w:val="00824A3F"/>
    <w:rsid w:val="00887CBD"/>
    <w:rsid w:val="008B1BA0"/>
    <w:rsid w:val="008B4F97"/>
    <w:rsid w:val="008C442C"/>
    <w:rsid w:val="00975FA0"/>
    <w:rsid w:val="00A64A2E"/>
    <w:rsid w:val="00A961AD"/>
    <w:rsid w:val="00AB4125"/>
    <w:rsid w:val="00B56C9E"/>
    <w:rsid w:val="00BA151C"/>
    <w:rsid w:val="00C632DF"/>
    <w:rsid w:val="00CC009F"/>
    <w:rsid w:val="00CC3632"/>
    <w:rsid w:val="00D946FE"/>
    <w:rsid w:val="00DB6722"/>
    <w:rsid w:val="00E0784B"/>
    <w:rsid w:val="00F80EF0"/>
    <w:rsid w:val="00FB2E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2769"/>
    <w:rPr>
      <w:color w:val="0563C1" w:themeColor="hyperlink"/>
      <w:u w:val="single"/>
    </w:rPr>
  </w:style>
  <w:style w:type="paragraph" w:styleId="Header">
    <w:name w:val="header"/>
    <w:basedOn w:val="Normal"/>
    <w:link w:val="HeaderChar"/>
    <w:uiPriority w:val="99"/>
    <w:unhideWhenUsed/>
    <w:rsid w:val="00E07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84B"/>
  </w:style>
  <w:style w:type="paragraph" w:styleId="Footer">
    <w:name w:val="footer"/>
    <w:basedOn w:val="Normal"/>
    <w:link w:val="FooterChar"/>
    <w:uiPriority w:val="99"/>
    <w:unhideWhenUsed/>
    <w:rsid w:val="00E07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84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1409171/000140917120000015/a10kfy20.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2020-05-21T14:08:00Z</dcterms:created>
  <dcterms:modified xsi:type="dcterms:W3CDTF">2020-05-21T14:08:00Z</dcterms:modified>
</cp:coreProperties>
</file>